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02B3" w14:textId="31F30D61" w:rsidR="00E467D7" w:rsidRDefault="001B01AC" w:rsidP="00054335">
      <w:pPr>
        <w:ind w:left="-720"/>
        <w:rPr>
          <w:noProof/>
        </w:rPr>
      </w:pPr>
      <w:r>
        <w:rPr>
          <w:noProof/>
        </w:rPr>
        <w:drawing>
          <wp:anchor distT="0" distB="0" distL="0" distR="0" simplePos="0" relativeHeight="251659264" behindDoc="0" locked="0" layoutInCell="1" hidden="0" allowOverlap="1" wp14:anchorId="1BC7A60C" wp14:editId="2B258512">
            <wp:simplePos x="0" y="0"/>
            <wp:positionH relativeFrom="column">
              <wp:posOffset>-286385</wp:posOffset>
            </wp:positionH>
            <wp:positionV relativeFrom="paragraph">
              <wp:posOffset>191378</wp:posOffset>
            </wp:positionV>
            <wp:extent cx="1433195" cy="4997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33195" cy="499745"/>
                    </a:xfrm>
                    <a:prstGeom prst="rect">
                      <a:avLst/>
                    </a:prstGeom>
                    <a:ln/>
                  </pic:spPr>
                </pic:pic>
              </a:graphicData>
            </a:graphic>
            <wp14:sizeRelH relativeFrom="margin">
              <wp14:pctWidth>0</wp14:pctWidth>
            </wp14:sizeRelH>
            <wp14:sizeRelV relativeFrom="margin">
              <wp14:pctHeight>0</wp14:pctHeight>
            </wp14:sizeRelV>
          </wp:anchor>
        </w:drawing>
      </w:r>
    </w:p>
    <w:p w14:paraId="654BCFA6" w14:textId="7F170A4C" w:rsidR="007760FC" w:rsidRDefault="007760FC" w:rsidP="00DA6EAC">
      <w:pPr>
        <w:ind w:left="-360"/>
        <w:rPr>
          <w:noProof/>
        </w:rPr>
      </w:pPr>
    </w:p>
    <w:p w14:paraId="286A1289" w14:textId="77777777" w:rsidR="00B317CC" w:rsidRDefault="00B317CC" w:rsidP="002100FF">
      <w:pPr>
        <w:ind w:left="1440"/>
        <w:rPr>
          <w:noProof/>
        </w:rPr>
      </w:pPr>
    </w:p>
    <w:p w14:paraId="59815802" w14:textId="77777777" w:rsidR="00CC137E" w:rsidRDefault="00CC137E" w:rsidP="00C679E2"/>
    <w:p w14:paraId="57DC9A08" w14:textId="093536BB" w:rsidR="007760FC" w:rsidRDefault="00AA0CB5" w:rsidP="00DA6EAC">
      <w:pPr>
        <w:ind w:left="-360"/>
        <w:rPr>
          <w:i/>
          <w:sz w:val="20"/>
          <w:szCs w:val="20"/>
        </w:rPr>
      </w:pPr>
      <w:r>
        <w:rPr>
          <w:i/>
          <w:sz w:val="20"/>
          <w:szCs w:val="20"/>
        </w:rPr>
        <w:t>A Not-for-Profit Corporation</w:t>
      </w:r>
    </w:p>
    <w:p w14:paraId="450E1693" w14:textId="5FB81C57" w:rsidR="007760FC" w:rsidRPr="00DF7B73" w:rsidRDefault="001B01AC" w:rsidP="00E65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ind w:left="-720"/>
        <w:rPr>
          <w:rFonts w:ascii="TimpaniHeavy" w:eastAsia="TimpaniHeavy" w:hAnsi="TimpaniHeavy" w:cs="TimpaniHeavy"/>
          <w:b/>
          <w:bCs/>
        </w:rPr>
      </w:pPr>
      <w:r>
        <w:rPr>
          <w:rFonts w:ascii="Tiffany Hv BT" w:eastAsia="Tiffany Hv BT" w:hAnsi="Tiffany Hv BT" w:cs="Tiffany Hv BT"/>
          <w:b/>
          <w:bCs/>
          <w:color w:val="000000"/>
        </w:rPr>
        <w:t xml:space="preserve">    </w:t>
      </w:r>
      <w:r>
        <w:rPr>
          <w:rFonts w:ascii="Tiffany Hv BT" w:hAnsi="Tiffany Hv BT"/>
          <w:bCs/>
          <w:snapToGrid w:val="0"/>
          <w:color w:val="000000"/>
          <w:sz w:val="28"/>
        </w:rPr>
        <w:t>east sixties neighborhood association, inc</w:t>
      </w:r>
      <w:r w:rsidR="00AA0CB5" w:rsidRPr="00DF7B73">
        <w:rPr>
          <w:rFonts w:ascii="TimpaniHeavy" w:eastAsia="TimpaniHeavy" w:hAnsi="TimpaniHeavy" w:cs="TimpaniHeavy"/>
          <w:b/>
          <w:bCs/>
          <w:color w:val="000000"/>
        </w:rPr>
        <w:t>.</w:t>
      </w:r>
    </w:p>
    <w:p w14:paraId="4884D966" w14:textId="5D8D42CA" w:rsidR="007760FC" w:rsidRPr="00DF7B73" w:rsidRDefault="002100FF" w:rsidP="001B0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ind w:left="-360"/>
        <w:rPr>
          <w:b/>
        </w:rPr>
      </w:pPr>
      <w:r w:rsidRPr="00DF7B73">
        <w:rPr>
          <w:b/>
        </w:rPr>
        <w:t>P O Box 1855</w:t>
      </w:r>
    </w:p>
    <w:p w14:paraId="2B94E949" w14:textId="6A1AB2DD" w:rsidR="007760FC" w:rsidRPr="00DF7B73" w:rsidRDefault="00AA0CB5" w:rsidP="001B01AC">
      <w:pPr>
        <w:spacing w:line="260" w:lineRule="auto"/>
        <w:ind w:left="-360"/>
        <w:rPr>
          <w:b/>
        </w:rPr>
      </w:pPr>
      <w:r w:rsidRPr="00DF7B73">
        <w:rPr>
          <w:b/>
        </w:rPr>
        <w:t>New York, NY 100</w:t>
      </w:r>
      <w:r w:rsidR="002100FF" w:rsidRPr="00DF7B73">
        <w:rPr>
          <w:b/>
        </w:rPr>
        <w:t>21-0048</w:t>
      </w:r>
      <w:r w:rsidR="00E6508F" w:rsidRPr="00DF7B73">
        <w:rPr>
          <w:b/>
        </w:rPr>
        <w:t xml:space="preserve"> </w:t>
      </w:r>
    </w:p>
    <w:p w14:paraId="5BC3FBB4" w14:textId="61D39B89" w:rsidR="008D516E" w:rsidRDefault="006C6D08" w:rsidP="001B01AC">
      <w:pPr>
        <w:spacing w:line="260" w:lineRule="auto"/>
        <w:ind w:left="-360"/>
        <w:rPr>
          <w:rStyle w:val="Hyperlink"/>
          <w:b/>
          <w:color w:val="auto"/>
          <w:u w:val="none"/>
        </w:rPr>
      </w:pPr>
      <w:r w:rsidRPr="00DF7B73">
        <w:rPr>
          <w:b/>
        </w:rPr>
        <w:t>212-755-1296</w:t>
      </w:r>
      <w:r w:rsidR="00E6508F" w:rsidRPr="00DF7B73">
        <w:rPr>
          <w:b/>
        </w:rPr>
        <w:t xml:space="preserve"> • </w:t>
      </w:r>
      <w:hyperlink r:id="rId6" w:history="1">
        <w:r w:rsidR="00E6508F" w:rsidRPr="00DF7B73">
          <w:rPr>
            <w:rStyle w:val="Hyperlink"/>
            <w:b/>
            <w:color w:val="auto"/>
            <w:u w:val="none"/>
          </w:rPr>
          <w:t>info@esna-nyc.com</w:t>
        </w:r>
      </w:hyperlink>
      <w:r w:rsidR="005626FC" w:rsidRPr="008D516E">
        <w:rPr>
          <w:b/>
        </w:rPr>
        <w:t xml:space="preserve"> </w:t>
      </w:r>
      <w:r w:rsidR="00AA0CB5" w:rsidRPr="008D516E">
        <w:rPr>
          <w:b/>
        </w:rPr>
        <w:t xml:space="preserve">• </w:t>
      </w:r>
      <w:hyperlink r:id="rId7" w:history="1">
        <w:r w:rsidR="008D516E" w:rsidRPr="008D516E">
          <w:rPr>
            <w:rStyle w:val="Hyperlink"/>
            <w:b/>
            <w:color w:val="auto"/>
            <w:u w:val="none"/>
          </w:rPr>
          <w:t>www.esna-nyc.com</w:t>
        </w:r>
      </w:hyperlink>
    </w:p>
    <w:p w14:paraId="0E02BE40" w14:textId="77777777" w:rsidR="00483D8C" w:rsidRDefault="00483D8C" w:rsidP="001B01AC">
      <w:pPr>
        <w:spacing w:line="260" w:lineRule="auto"/>
        <w:ind w:left="-360"/>
        <w:rPr>
          <w:b/>
        </w:rPr>
      </w:pPr>
    </w:p>
    <w:p w14:paraId="55D7D300" w14:textId="5ACAA2E2" w:rsidR="008D516E" w:rsidRPr="005F33B8" w:rsidRDefault="005F33B8" w:rsidP="001B01AC">
      <w:pPr>
        <w:spacing w:line="260" w:lineRule="auto"/>
        <w:ind w:left="-360"/>
        <w:rPr>
          <w:sz w:val="22"/>
          <w:szCs w:val="22"/>
        </w:rPr>
      </w:pPr>
      <w:r w:rsidRPr="005F33B8">
        <w:rPr>
          <w:sz w:val="22"/>
          <w:szCs w:val="22"/>
        </w:rPr>
        <w:t>Hon. Ken Jenkins, Chair</w:t>
      </w:r>
    </w:p>
    <w:p w14:paraId="2AD7AEF0" w14:textId="369D9940" w:rsidR="005F33B8" w:rsidRPr="005F33B8" w:rsidRDefault="005F33B8" w:rsidP="001B01AC">
      <w:pPr>
        <w:spacing w:line="260" w:lineRule="auto"/>
        <w:ind w:left="-360"/>
        <w:rPr>
          <w:sz w:val="22"/>
          <w:szCs w:val="22"/>
        </w:rPr>
      </w:pPr>
      <w:r w:rsidRPr="005F33B8">
        <w:rPr>
          <w:sz w:val="22"/>
          <w:szCs w:val="22"/>
        </w:rPr>
        <w:t>Hon. Charles Nesbitt, Vice Chair</w:t>
      </w:r>
    </w:p>
    <w:p w14:paraId="30E958D9" w14:textId="77777777" w:rsidR="00132252" w:rsidRDefault="00D55543" w:rsidP="00E20BDF">
      <w:pPr>
        <w:ind w:left="-360"/>
        <w:rPr>
          <w:sz w:val="22"/>
        </w:rPr>
      </w:pPr>
      <w:r w:rsidRPr="00B81C84">
        <w:rPr>
          <w:sz w:val="22"/>
        </w:rPr>
        <w:t>Attention: Submissions</w:t>
      </w:r>
      <w:r w:rsidR="00BD14D1">
        <w:rPr>
          <w:sz w:val="22"/>
        </w:rPr>
        <w:t>,</w:t>
      </w:r>
    </w:p>
    <w:p w14:paraId="7C93126D" w14:textId="03023DCD" w:rsidR="00D55543" w:rsidRPr="00B81C84" w:rsidRDefault="00D55543" w:rsidP="00E20BDF">
      <w:pPr>
        <w:ind w:left="-360"/>
        <w:rPr>
          <w:sz w:val="22"/>
        </w:rPr>
      </w:pPr>
      <w:r w:rsidRPr="00B81C84">
        <w:rPr>
          <w:sz w:val="22"/>
        </w:rPr>
        <w:t>Independent Redistricting Commission</w:t>
      </w:r>
    </w:p>
    <w:p w14:paraId="39FCAC71" w14:textId="77777777" w:rsidR="001F3EF5" w:rsidRDefault="00D55543" w:rsidP="00E20BDF">
      <w:pPr>
        <w:ind w:left="-360"/>
        <w:rPr>
          <w:sz w:val="22"/>
        </w:rPr>
      </w:pPr>
      <w:r w:rsidRPr="00B81C84">
        <w:rPr>
          <w:sz w:val="22"/>
        </w:rPr>
        <w:t>250 Broadway, 22</w:t>
      </w:r>
      <w:r w:rsidRPr="00B81C84">
        <w:rPr>
          <w:sz w:val="22"/>
          <w:vertAlign w:val="superscript"/>
        </w:rPr>
        <w:t>nd</w:t>
      </w:r>
      <w:r w:rsidRPr="00B81C84">
        <w:rPr>
          <w:sz w:val="22"/>
        </w:rPr>
        <w:t xml:space="preserve"> Floor</w:t>
      </w:r>
      <w:r w:rsidR="00BD14D1">
        <w:rPr>
          <w:sz w:val="22"/>
        </w:rPr>
        <w:t xml:space="preserve">, </w:t>
      </w:r>
    </w:p>
    <w:p w14:paraId="224B609A" w14:textId="6DF0626C" w:rsidR="00D55543" w:rsidRPr="00B81C84" w:rsidRDefault="00D55543" w:rsidP="00E20BDF">
      <w:pPr>
        <w:ind w:left="-360"/>
        <w:rPr>
          <w:sz w:val="22"/>
        </w:rPr>
      </w:pPr>
      <w:r w:rsidRPr="00B81C84">
        <w:rPr>
          <w:sz w:val="22"/>
        </w:rPr>
        <w:t>New York, New York 10007</w:t>
      </w:r>
    </w:p>
    <w:p w14:paraId="40C5BD3A" w14:textId="77777777" w:rsidR="00D55543" w:rsidRPr="00B81C84" w:rsidRDefault="00D55543" w:rsidP="00E20BDF">
      <w:pPr>
        <w:ind w:left="-360"/>
        <w:rPr>
          <w:sz w:val="22"/>
        </w:rPr>
      </w:pPr>
    </w:p>
    <w:p w14:paraId="7CF92645" w14:textId="03B989FE" w:rsidR="00D55543" w:rsidRPr="00B81C84" w:rsidRDefault="00D55543" w:rsidP="00E20BDF">
      <w:pPr>
        <w:ind w:left="-360"/>
        <w:rPr>
          <w:sz w:val="22"/>
        </w:rPr>
      </w:pPr>
      <w:r w:rsidRPr="00B81C84">
        <w:rPr>
          <w:sz w:val="22"/>
        </w:rPr>
        <w:t xml:space="preserve">Dear </w:t>
      </w:r>
      <w:r w:rsidR="0092437C">
        <w:rPr>
          <w:sz w:val="22"/>
        </w:rPr>
        <w:t>Hon</w:t>
      </w:r>
      <w:r w:rsidRPr="00B81C84">
        <w:rPr>
          <w:sz w:val="22"/>
        </w:rPr>
        <w:t>,</w:t>
      </w:r>
      <w:r w:rsidR="0092437C">
        <w:rPr>
          <w:sz w:val="22"/>
        </w:rPr>
        <w:t xml:space="preserve"> Jenkins, Chair and Hon. Nesbitt, Vice Chair,</w:t>
      </w:r>
    </w:p>
    <w:p w14:paraId="7D3E1ADA" w14:textId="77777777" w:rsidR="00D55543" w:rsidRPr="00B81C84" w:rsidRDefault="00D55543" w:rsidP="00E20BDF">
      <w:pPr>
        <w:ind w:left="-360"/>
        <w:rPr>
          <w:sz w:val="22"/>
        </w:rPr>
      </w:pPr>
    </w:p>
    <w:p w14:paraId="52990BB7" w14:textId="77777777" w:rsidR="00D55543" w:rsidRPr="00B81C84" w:rsidRDefault="00D55543" w:rsidP="00E20BDF">
      <w:pPr>
        <w:ind w:left="-360"/>
        <w:rPr>
          <w:sz w:val="22"/>
        </w:rPr>
      </w:pPr>
      <w:r w:rsidRPr="00B81C84">
        <w:rPr>
          <w:sz w:val="22"/>
        </w:rPr>
        <w:t xml:space="preserve">I write to express my strong opposition to the Commission’s draft plan that would move portions of the East Sixties, Sutton Place, Roosevelt </w:t>
      </w:r>
      <w:proofErr w:type="gramStart"/>
      <w:r w:rsidRPr="00B81C84">
        <w:rPr>
          <w:sz w:val="22"/>
        </w:rPr>
        <w:t>Island</w:t>
      </w:r>
      <w:proofErr w:type="gramEnd"/>
      <w:r w:rsidRPr="00B81C84">
        <w:rPr>
          <w:sz w:val="22"/>
        </w:rPr>
        <w:t xml:space="preserve"> and other parts of the east side into Assembly District 36 in Queens. </w:t>
      </w:r>
    </w:p>
    <w:p w14:paraId="54634252" w14:textId="77777777" w:rsidR="00D55543" w:rsidRPr="00B81C84" w:rsidRDefault="00D55543" w:rsidP="00E20BDF">
      <w:pPr>
        <w:ind w:left="-360"/>
        <w:rPr>
          <w:sz w:val="22"/>
        </w:rPr>
      </w:pPr>
    </w:p>
    <w:p w14:paraId="7EF431A1" w14:textId="13071EF5" w:rsidR="00D55543" w:rsidRPr="00B81C84" w:rsidRDefault="00D55543" w:rsidP="00E20BDF">
      <w:pPr>
        <w:ind w:left="-360"/>
        <w:rPr>
          <w:sz w:val="22"/>
        </w:rPr>
      </w:pPr>
      <w:r w:rsidRPr="00B81C84">
        <w:rPr>
          <w:sz w:val="22"/>
        </w:rPr>
        <w:t xml:space="preserve">The draft proposal clearly violates several New York State Constitutional districting requirements. Specifically, the draft (1) is not contiguous and compact; (2) fails to consider pre-existing political subdivisions and communities of interest; and (3) defies citizens’ reasonable expectations of rational </w:t>
      </w:r>
      <w:r w:rsidR="001B01AC">
        <w:rPr>
          <w:sz w:val="22"/>
        </w:rPr>
        <w:t>line drawing</w:t>
      </w:r>
      <w:r w:rsidRPr="00B81C84">
        <w:rPr>
          <w:sz w:val="22"/>
        </w:rPr>
        <w:t>.</w:t>
      </w:r>
    </w:p>
    <w:p w14:paraId="7920F8A1" w14:textId="77777777" w:rsidR="00D55543" w:rsidRPr="00B81C84" w:rsidRDefault="00D55543" w:rsidP="00E20BDF">
      <w:pPr>
        <w:ind w:left="-360"/>
        <w:rPr>
          <w:sz w:val="22"/>
        </w:rPr>
      </w:pPr>
    </w:p>
    <w:p w14:paraId="00EF1E2C" w14:textId="41305D3A" w:rsidR="00D55543" w:rsidRDefault="00D55543" w:rsidP="00E20BDF">
      <w:pPr>
        <w:ind w:left="-360"/>
        <w:rPr>
          <w:sz w:val="22"/>
        </w:rPr>
      </w:pPr>
      <w:r w:rsidRPr="00B81C84">
        <w:rPr>
          <w:sz w:val="22"/>
        </w:rPr>
        <w:t>Even the location of an Assembly District Office is complicated by this irrational two-borough district plan. Will the Assembly Member have a district office in Manhattan and Roosevelt Island to serve the needs of the extraordinarily high percentage of seniors in Community Districts 6 &amp; 8 &amp; Roosevelt Island? Manhattan and Queens residents may hold vastly different positions on important matters of public policy, including but not limited to congestion pricing.</w:t>
      </w:r>
    </w:p>
    <w:p w14:paraId="77755362" w14:textId="6B0CC438" w:rsidR="00F86CBE" w:rsidRDefault="00F86CBE" w:rsidP="00E20BDF">
      <w:pPr>
        <w:ind w:left="-360"/>
        <w:rPr>
          <w:sz w:val="22"/>
        </w:rPr>
      </w:pPr>
    </w:p>
    <w:p w14:paraId="63D08EA7" w14:textId="1ADE707E" w:rsidR="00F86CBE" w:rsidRPr="00B81C84" w:rsidRDefault="00F86CBE" w:rsidP="00F86CBE">
      <w:pPr>
        <w:ind w:left="-360"/>
        <w:rPr>
          <w:sz w:val="22"/>
        </w:rPr>
      </w:pPr>
      <w:r w:rsidRPr="00B81C84">
        <w:rPr>
          <w:sz w:val="22"/>
        </w:rPr>
        <w:t xml:space="preserve">The various communities of interest on both sides of the East River face different issues regarding housing, tax policy, transportation, open </w:t>
      </w:r>
      <w:proofErr w:type="gramStart"/>
      <w:r w:rsidRPr="00B81C84">
        <w:rPr>
          <w:sz w:val="22"/>
        </w:rPr>
        <w:t>space</w:t>
      </w:r>
      <w:proofErr w:type="gramEnd"/>
      <w:r w:rsidRPr="00B81C84">
        <w:rPr>
          <w:sz w:val="22"/>
        </w:rPr>
        <w:t xml:space="preserve"> and other matters. The draft proposal would create practical difficulties in the provision of governmental services. </w:t>
      </w:r>
    </w:p>
    <w:p w14:paraId="70651DD4" w14:textId="77777777" w:rsidR="00D55543" w:rsidRPr="00B81C84" w:rsidRDefault="00D55543" w:rsidP="00E20BDF">
      <w:pPr>
        <w:ind w:left="-360"/>
        <w:rPr>
          <w:sz w:val="22"/>
        </w:rPr>
      </w:pPr>
    </w:p>
    <w:p w14:paraId="04ADF9F1" w14:textId="7DEFB0D8" w:rsidR="00D55543" w:rsidRPr="00B81C84" w:rsidRDefault="00D55543" w:rsidP="00E20BDF">
      <w:pPr>
        <w:ind w:left="-360"/>
        <w:rPr>
          <w:sz w:val="22"/>
        </w:rPr>
      </w:pPr>
      <w:r w:rsidRPr="00B81C84">
        <w:rPr>
          <w:sz w:val="22"/>
        </w:rPr>
        <w:t>A defining element of the East Side’s neighborhood character is the presence of numerous medical and research facilities with sprawling, densely populated</w:t>
      </w:r>
      <w:r w:rsidR="001B01AC">
        <w:rPr>
          <w:sz w:val="22"/>
        </w:rPr>
        <w:t xml:space="preserve"> campuses.</w:t>
      </w:r>
      <w:r w:rsidRPr="00B81C84">
        <w:rPr>
          <w:sz w:val="22"/>
        </w:rPr>
        <w:t xml:space="preserve"> Among those institutions directly impacted by the proposed new lines are: Hospital for Special Surgery, New York Presbyterian/Weill Cornell, Schwarzman Animal Medical Center, Rockefeller University and Cornell Tech. Manhattan elected officials have years of experience and expertise in addressing the compatibility of these institutions with surrounding residential areas. How effective will a Queens Assembly Member be in this regard?</w:t>
      </w:r>
    </w:p>
    <w:p w14:paraId="215A5264" w14:textId="77777777" w:rsidR="00D55543" w:rsidRPr="00B81C84" w:rsidRDefault="00D55543" w:rsidP="00E20BDF">
      <w:pPr>
        <w:ind w:left="-360"/>
        <w:rPr>
          <w:sz w:val="22"/>
        </w:rPr>
      </w:pPr>
    </w:p>
    <w:p w14:paraId="2F9AC332" w14:textId="079C1FEF" w:rsidR="00D55543" w:rsidRDefault="00D55543" w:rsidP="00E20BDF">
      <w:pPr>
        <w:ind w:left="-360"/>
        <w:rPr>
          <w:sz w:val="22"/>
        </w:rPr>
      </w:pPr>
      <w:r w:rsidRPr="00B81C84">
        <w:rPr>
          <w:sz w:val="22"/>
        </w:rPr>
        <w:t xml:space="preserve">I and my neighbors successfully beat back a similar proposal involving City Council districts this past summer. While the law and the process may be different, the essential concepts of good government and rational </w:t>
      </w:r>
      <w:r w:rsidR="001B01AC">
        <w:rPr>
          <w:sz w:val="22"/>
        </w:rPr>
        <w:t>line drawing</w:t>
      </w:r>
      <w:r w:rsidRPr="00B81C84">
        <w:rPr>
          <w:sz w:val="22"/>
        </w:rPr>
        <w:t xml:space="preserve"> remain the same.</w:t>
      </w:r>
      <w:r w:rsidR="00117990">
        <w:rPr>
          <w:sz w:val="22"/>
        </w:rPr>
        <w:t xml:space="preserve"> I strongly urge </w:t>
      </w:r>
      <w:r w:rsidR="00117990" w:rsidRPr="00B81C84">
        <w:rPr>
          <w:sz w:val="22"/>
        </w:rPr>
        <w:t>you to scrap the draft plan and not create a two-borough district.</w:t>
      </w:r>
    </w:p>
    <w:p w14:paraId="349F320E" w14:textId="77777777" w:rsidR="005E40C7" w:rsidRPr="00B81C84" w:rsidRDefault="005E40C7" w:rsidP="00E20BDF">
      <w:pPr>
        <w:ind w:left="-360"/>
        <w:rPr>
          <w:sz w:val="22"/>
        </w:rPr>
      </w:pPr>
    </w:p>
    <w:p w14:paraId="108C686B" w14:textId="77777777" w:rsidR="00D55543" w:rsidRPr="00B81C84" w:rsidRDefault="00D55543" w:rsidP="00E20BDF">
      <w:pPr>
        <w:ind w:left="-360"/>
        <w:rPr>
          <w:sz w:val="22"/>
        </w:rPr>
      </w:pPr>
      <w:r w:rsidRPr="00B81C84">
        <w:rPr>
          <w:sz w:val="22"/>
        </w:rPr>
        <w:t>Respectfully,</w:t>
      </w:r>
    </w:p>
    <w:p w14:paraId="758E894A" w14:textId="2CE4997A" w:rsidR="00D55543" w:rsidRPr="00386F2F" w:rsidRDefault="00D55543" w:rsidP="00E20BDF">
      <w:pPr>
        <w:ind w:left="-360"/>
        <w:rPr>
          <w:sz w:val="28"/>
          <w:szCs w:val="28"/>
        </w:rPr>
      </w:pPr>
      <w:r>
        <w:rPr>
          <w:sz w:val="28"/>
          <w:szCs w:val="28"/>
        </w:rPr>
        <w:t>__________________________________________________________</w:t>
      </w:r>
      <w:r w:rsidR="00392A41">
        <w:rPr>
          <w:sz w:val="28"/>
          <w:szCs w:val="28"/>
        </w:rPr>
        <w:t>___</w:t>
      </w:r>
    </w:p>
    <w:p w14:paraId="08DB6AE2" w14:textId="75883A50" w:rsidR="00054335" w:rsidRDefault="00D55543" w:rsidP="00E20BDF">
      <w:pPr>
        <w:spacing w:line="260" w:lineRule="auto"/>
        <w:ind w:left="-360"/>
      </w:pPr>
      <w:r w:rsidRPr="00A906F9">
        <w:rPr>
          <w:highlight w:val="yellow"/>
        </w:rPr>
        <w:t>Name</w:t>
      </w:r>
      <w:r w:rsidRPr="00A906F9">
        <w:rPr>
          <w:highlight w:val="yellow"/>
        </w:rPr>
        <w:tab/>
      </w:r>
      <w:r w:rsidRPr="00A906F9">
        <w:rPr>
          <w:highlight w:val="yellow"/>
        </w:rPr>
        <w:tab/>
      </w:r>
      <w:r w:rsidRPr="00A906F9">
        <w:rPr>
          <w:highlight w:val="yellow"/>
        </w:rPr>
        <w:tab/>
      </w:r>
      <w:r w:rsidRPr="00A906F9">
        <w:rPr>
          <w:highlight w:val="yellow"/>
        </w:rPr>
        <w:tab/>
      </w:r>
      <w:r w:rsidR="00A906F9" w:rsidRPr="00A906F9">
        <w:rPr>
          <w:highlight w:val="yellow"/>
        </w:rPr>
        <w:tab/>
      </w:r>
      <w:r w:rsidRPr="00A906F9">
        <w:rPr>
          <w:highlight w:val="yellow"/>
        </w:rPr>
        <w:t>Address</w:t>
      </w:r>
      <w:r w:rsidRPr="00A906F9">
        <w:rPr>
          <w:highlight w:val="yellow"/>
        </w:rPr>
        <w:tab/>
      </w:r>
      <w:r w:rsidRPr="00A906F9">
        <w:rPr>
          <w:highlight w:val="yellow"/>
        </w:rPr>
        <w:tab/>
      </w:r>
      <w:r w:rsidRPr="00A906F9">
        <w:rPr>
          <w:highlight w:val="yellow"/>
        </w:rPr>
        <w:tab/>
      </w:r>
      <w:r w:rsidRPr="00A906F9">
        <w:rPr>
          <w:highlight w:val="yellow"/>
        </w:rPr>
        <w:tab/>
      </w:r>
      <w:r w:rsidR="00A906F9" w:rsidRPr="00A906F9">
        <w:rPr>
          <w:highlight w:val="yellow"/>
        </w:rPr>
        <w:t>Zip Code</w:t>
      </w:r>
    </w:p>
    <w:p w14:paraId="5E11F787" w14:textId="5EC0348A" w:rsidR="007760FC" w:rsidRDefault="00AA0CB5" w:rsidP="00E17D85">
      <w:pPr>
        <w:pStyle w:val="Heading2"/>
        <w:ind w:left="2160" w:firstLine="720"/>
        <w:jc w:val="left"/>
      </w:pPr>
      <w:r>
        <w:t>“Celebrating the Spirit of Neighborhood”</w:t>
      </w:r>
    </w:p>
    <w:sectPr w:rsidR="007760FC" w:rsidSect="0032000A">
      <w:pgSz w:w="12240" w:h="15840"/>
      <w:pgMar w:top="173" w:right="1584" w:bottom="173" w:left="158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ffany Hv BT">
    <w:altName w:val="Cambria"/>
    <w:charset w:val="00"/>
    <w:family w:val="roman"/>
    <w:pitch w:val="variable"/>
    <w:sig w:usb0="00000087" w:usb1="00000000" w:usb2="00000000" w:usb3="00000000" w:csb0="0000001B" w:csb1="00000000"/>
  </w:font>
  <w:font w:name="TimpaniHeavy">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E2C00"/>
    <w:multiLevelType w:val="hybridMultilevel"/>
    <w:tmpl w:val="7BB2E808"/>
    <w:lvl w:ilvl="0" w:tplc="1AFEE5C6">
      <w:start w:val="253"/>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929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FC"/>
    <w:rsid w:val="0001477C"/>
    <w:rsid w:val="00033513"/>
    <w:rsid w:val="00054335"/>
    <w:rsid w:val="000D66C1"/>
    <w:rsid w:val="00117990"/>
    <w:rsid w:val="00132252"/>
    <w:rsid w:val="001B01AC"/>
    <w:rsid w:val="001B5632"/>
    <w:rsid w:val="001D16BF"/>
    <w:rsid w:val="001F31D5"/>
    <w:rsid w:val="001F3EF5"/>
    <w:rsid w:val="002100FF"/>
    <w:rsid w:val="00240C79"/>
    <w:rsid w:val="00296FB9"/>
    <w:rsid w:val="002B70BA"/>
    <w:rsid w:val="002E5B4A"/>
    <w:rsid w:val="00314ABC"/>
    <w:rsid w:val="0032000A"/>
    <w:rsid w:val="0033020C"/>
    <w:rsid w:val="00392A41"/>
    <w:rsid w:val="003C4902"/>
    <w:rsid w:val="0040038E"/>
    <w:rsid w:val="0041644F"/>
    <w:rsid w:val="004315F8"/>
    <w:rsid w:val="00461AFC"/>
    <w:rsid w:val="00483D8C"/>
    <w:rsid w:val="00486A09"/>
    <w:rsid w:val="004F4787"/>
    <w:rsid w:val="005265CF"/>
    <w:rsid w:val="005626FC"/>
    <w:rsid w:val="00590E85"/>
    <w:rsid w:val="005E40C7"/>
    <w:rsid w:val="005F33B8"/>
    <w:rsid w:val="00663829"/>
    <w:rsid w:val="00670CDD"/>
    <w:rsid w:val="00673C57"/>
    <w:rsid w:val="006A19A6"/>
    <w:rsid w:val="006C6D08"/>
    <w:rsid w:val="007235A1"/>
    <w:rsid w:val="007331CD"/>
    <w:rsid w:val="00754CD9"/>
    <w:rsid w:val="007760FC"/>
    <w:rsid w:val="007B651B"/>
    <w:rsid w:val="007F7947"/>
    <w:rsid w:val="00822D24"/>
    <w:rsid w:val="00836C3B"/>
    <w:rsid w:val="00853E35"/>
    <w:rsid w:val="00855196"/>
    <w:rsid w:val="008760F0"/>
    <w:rsid w:val="0089363E"/>
    <w:rsid w:val="008D516E"/>
    <w:rsid w:val="0092437C"/>
    <w:rsid w:val="00953192"/>
    <w:rsid w:val="0097627F"/>
    <w:rsid w:val="00A21456"/>
    <w:rsid w:val="00A44FA8"/>
    <w:rsid w:val="00A66408"/>
    <w:rsid w:val="00A906F9"/>
    <w:rsid w:val="00AA0CB5"/>
    <w:rsid w:val="00AD1473"/>
    <w:rsid w:val="00B0628A"/>
    <w:rsid w:val="00B317CC"/>
    <w:rsid w:val="00BD14D1"/>
    <w:rsid w:val="00BF4703"/>
    <w:rsid w:val="00C24943"/>
    <w:rsid w:val="00C679E2"/>
    <w:rsid w:val="00CA44DA"/>
    <w:rsid w:val="00CC137E"/>
    <w:rsid w:val="00CD6873"/>
    <w:rsid w:val="00D374F4"/>
    <w:rsid w:val="00D55543"/>
    <w:rsid w:val="00D73642"/>
    <w:rsid w:val="00D90FFF"/>
    <w:rsid w:val="00DA6EAC"/>
    <w:rsid w:val="00DF7B73"/>
    <w:rsid w:val="00E14934"/>
    <w:rsid w:val="00E17D85"/>
    <w:rsid w:val="00E20BDF"/>
    <w:rsid w:val="00E3376A"/>
    <w:rsid w:val="00E467D7"/>
    <w:rsid w:val="00E6508F"/>
    <w:rsid w:val="00E756FD"/>
    <w:rsid w:val="00E8783F"/>
    <w:rsid w:val="00EF73A8"/>
    <w:rsid w:val="00F07061"/>
    <w:rsid w:val="00F43979"/>
    <w:rsid w:val="00F75B04"/>
    <w:rsid w:val="00F8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957D"/>
  <w15:docId w15:val="{011DBD8A-875C-4D73-B997-399AB230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720"/>
      <w:outlineLvl w:val="0"/>
    </w:pPr>
    <w:rPr>
      <w:i/>
    </w:rPr>
  </w:style>
  <w:style w:type="paragraph" w:styleId="Heading2">
    <w:name w:val="heading 2"/>
    <w:basedOn w:val="Normal"/>
    <w:next w:val="Normal"/>
    <w:uiPriority w:val="9"/>
    <w:unhideWhenUsed/>
    <w:qFormat/>
    <w:pPr>
      <w:keepNext/>
      <w:jc w:val="center"/>
      <w:outlineLvl w:val="1"/>
    </w:pPr>
    <w:rPr>
      <w:i/>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626FC"/>
    <w:rPr>
      <w:color w:val="0000FF" w:themeColor="hyperlink"/>
      <w:u w:val="single"/>
    </w:rPr>
  </w:style>
  <w:style w:type="character" w:styleId="UnresolvedMention">
    <w:name w:val="Unresolved Mention"/>
    <w:basedOn w:val="DefaultParagraphFont"/>
    <w:uiPriority w:val="99"/>
    <w:semiHidden/>
    <w:unhideWhenUsed/>
    <w:rsid w:val="005626FC"/>
    <w:rPr>
      <w:color w:val="605E5C"/>
      <w:shd w:val="clear" w:color="auto" w:fill="E1DFDD"/>
    </w:rPr>
  </w:style>
  <w:style w:type="paragraph" w:styleId="NoSpacing">
    <w:name w:val="No Spacing"/>
    <w:uiPriority w:val="1"/>
    <w:qFormat/>
    <w:rsid w:val="00673C5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na-ny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sna-nyc.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A. Friedman</dc:creator>
  <cp:lastModifiedBy>Judith E. Schneider</cp:lastModifiedBy>
  <cp:revision>2</cp:revision>
  <cp:lastPrinted>2023-01-17T20:43:00Z</cp:lastPrinted>
  <dcterms:created xsi:type="dcterms:W3CDTF">2023-01-18T16:59:00Z</dcterms:created>
  <dcterms:modified xsi:type="dcterms:W3CDTF">2023-01-18T16:59:00Z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51aae6cae5b185f5aea373f8b91c8fed36039123cdd2e8897a45dd0d68dad508</vt:lpwstr>
  </property>
</Properties>
</file>